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Human-AI-Collaboration</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Capturing Tacit Knowledge through Intelligent Human-Machine Partnerships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Industrial AI is moving automated systems beyond a threshold: It has long been able to analyze historical data to inform decision making, but is now increasingly acting in real time on the shop floor. This includes automated process adjustments, anomaly flagging, and real-time advice for humans [1,2]. This fundamentally shifts the role of intelligent systems from a retrospective analysis tool to a direct participant in shop-floor operations. </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2b2b2b"/>
          <w:sz w:val="14"/>
          <w:szCs w:val="14"/>
        </w:rPr>
      </w:pPr>
      <w:r w:rsidDel="00000000" w:rsidR="00000000" w:rsidRPr="00000000">
        <w:rPr>
          <w:rFonts w:ascii="Avenir" w:cs="Avenir" w:eastAsia="Avenir" w:hAnsi="Avenir"/>
          <w:b w:val="1"/>
          <w:bCs w:val="1"/>
          <w:color w:val="3c3f42"/>
          <w:sz w:val="14"/>
          <w:szCs w:val="14"/>
          <w:rtl w:val="0"/>
        </w:rPr>
        <w:t xml:space="preserve">This participation of intelligent systems in real-time operations also changes the demands placed on workers interacting with them. Instead of performing clearly defined tasks, personnel are increasingly expected to collaborate with and oversee autonomous systems</w:t>
      </w:r>
      <w:r w:rsidDel="00000000" w:rsidR="00000000" w:rsidRPr="00000000">
        <w:rPr>
          <w:rFonts w:ascii="Avenir" w:cs="Avenir" w:eastAsia="Avenir" w:hAnsi="Avenir"/>
          <w:b w:val="1"/>
          <w:bCs w:val="1"/>
          <w:color w:val="2b2b2b"/>
          <w:sz w:val="14"/>
          <w:szCs w:val="14"/>
          <w:rtl w:val="0"/>
        </w:rPr>
        <w:t xml:space="preserve">. This relationship is becoming increasingly fluid and co-dependent </w:t>
      </w:r>
      <w:r w:rsidDel="00000000" w:rsidR="00000000" w:rsidRPr="00000000">
        <w:rPr>
          <w:rFonts w:ascii="Avenir" w:cs="Avenir" w:eastAsia="Avenir" w:hAnsi="Avenir"/>
          <w:b w:val="1"/>
          <w:bCs w:val="1"/>
          <w:color w:val="3c3f42"/>
          <w:sz w:val="14"/>
          <w:szCs w:val="14"/>
          <w:rtl w:val="0"/>
        </w:rPr>
        <w:t xml:space="preserve">[3,4]</w:t>
      </w:r>
      <w:r w:rsidDel="00000000" w:rsidR="00000000" w:rsidRPr="00000000">
        <w:rPr>
          <w:rFonts w:ascii="Avenir" w:cs="Avenir" w:eastAsia="Avenir" w:hAnsi="Avenir"/>
          <w:b w:val="1"/>
          <w:bCs w:val="1"/>
          <w:color w:val="2b2b2b"/>
          <w:sz w:val="14"/>
          <w:szCs w:val="14"/>
          <w:rtl w:val="0"/>
        </w:rPr>
        <w:t xml:space="preserve">. Each party relies on the other for context and judgment, which requires trust.</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However, the infrastructure to support this collaboration has not been able to keep pace. Much of the technical and organizational infrastructure in place today was designed for a setting in which humans made decisions and machines executed [5]. Now, AI is taking on increasingly intelligent tasks, such as fault diagnosis, intervention recommendations, and real-time process adaptation [1,2]. The quality and smoothness of the interaction between humans and intelligent machines is therefore becoming a central element of industrial productivity [6]. A connective layer is therefore needed to synchronize information and control while maintaining trust between workers and systems [7].</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br w:type="textWrapping"/>
        <w:t xml:space="preserve">We see three opportunities in closing this gap. First, organizational memory, much of which is tacit and experiential, can be captured during operations and made accessible to others as well as usable by machines [8]. This knowledge is at constant risk of being lost through personnel turnover or retirement [9]. Instead of relying on post-hoc documentation, knowledge can be externalized as a natural byproduct of shop floor work. This would turn individual expertise into a structured and searchable organizational asset. Beyond that, improvements to the human-machine handoff are needed: Due to industrial AI, the moment when control and context simultaneously shift between workers and machines suffers from a long context ramp, i.e., the time a worker needs to become familiar with the situation that requires their attention, and a lack of fluidity [10]. Most of these transitions are binary between full human control and full automation. Designs focused on context-aware handoffs for graded sharing of responsibility can improve both safety and efficiency. Finally, the intelligence of modern autonomous systems can be used to smooth the compliance and certification process [11,12]. As AI-driven tools become more complex and dynamic, the work required to stay compliant grows in proportion. Rather than letting compliance remain a bottleneck that slows adoption, reporting and adherence monitoring can be automated in real time. If the resulting documentation is audit-ready, oversight scales with system capability instead of against it. </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right="600"/>
        <w:jc w:val="both"/>
        <w:rPr>
          <w:rFonts w:ascii="Avenir" w:cs="Avenir" w:eastAsia="Avenir" w:hAnsi="Avenir"/>
          <w:b w:val="1"/>
          <w:bCs w:val="1"/>
          <w:i w:val="1"/>
          <w:iCs w:val="1"/>
          <w:color w:val="3c3f42"/>
          <w:sz w:val="14"/>
          <w:szCs w:val="14"/>
        </w:rPr>
      </w:pPr>
      <w:r w:rsidDel="00000000" w:rsidR="00000000" w:rsidRPr="00000000">
        <w:rPr>
          <w:rFonts w:ascii="Avenir" w:cs="Avenir" w:eastAsia="Avenir" w:hAnsi="Avenir"/>
          <w:b w:val="1"/>
          <w:bCs w:val="1"/>
          <w:color w:val="3c3f42"/>
          <w:sz w:val="14"/>
          <w:szCs w:val="14"/>
          <w:rtl w:val="0"/>
        </w:rPr>
        <w:t xml:space="preserve">"When our senior engineer retired, 30 years of knowledge </w:t>
      </w:r>
      <w:r w:rsidDel="00000000" w:rsidR="00000000" w:rsidRPr="00000000">
        <w:rPr>
          <w:rFonts w:ascii="Avenir" w:cs="Avenir" w:eastAsia="Avenir" w:hAnsi="Avenir"/>
          <w:b w:val="1"/>
          <w:bCs w:val="1"/>
          <w:color w:val="3c3f42"/>
          <w:sz w:val="14"/>
          <w:szCs w:val="14"/>
          <w:rtl w:val="0"/>
        </w:rPr>
        <w:t xml:space="preserve">left with him</w:t>
      </w:r>
      <w:r w:rsidDel="00000000" w:rsidR="00000000" w:rsidRPr="00000000">
        <w:rPr>
          <w:rFonts w:ascii="Avenir" w:cs="Avenir" w:eastAsia="Avenir" w:hAnsi="Avenir"/>
          <w:b w:val="1"/>
          <w:bCs w:val="1"/>
          <w:color w:val="3c3f42"/>
          <w:sz w:val="14"/>
          <w:szCs w:val="14"/>
          <w:rtl w:val="0"/>
        </w:rPr>
        <w:t xml:space="preserve">." </w:t>
        <w:br w:type="textWrapping"/>
      </w:r>
      <w:r w:rsidDel="00000000" w:rsidR="00000000" w:rsidRPr="00000000">
        <w:rPr>
          <w:rFonts w:ascii="Avenir" w:cs="Avenir" w:eastAsia="Avenir" w:hAnsi="Avenir"/>
          <w:b w:val="1"/>
          <w:bCs w:val="1"/>
          <w:i w:val="1"/>
          <w:iCs w:val="1"/>
          <w:color w:val="3c3f42"/>
          <w:sz w:val="14"/>
          <w:szCs w:val="14"/>
          <w:rtl w:val="0"/>
        </w:rPr>
        <w:t xml:space="preserve">Production Manager, Chemical Manufacturer</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right="600"/>
        <w:jc w:val="both"/>
        <w:rPr>
          <w:rFonts w:ascii="Avenir" w:cs="Avenir" w:eastAsia="Avenir" w:hAnsi="Avenir"/>
          <w:b w:val="1"/>
          <w:bCs w:val="1"/>
          <w:i w:val="1"/>
          <w:iCs w:val="1"/>
          <w:color w:val="3c3f42"/>
          <w:sz w:val="14"/>
          <w:szCs w:val="14"/>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3c3f42"/>
          <w:sz w:val="14"/>
          <w:szCs w:val="14"/>
        </w:rPr>
      </w:pPr>
      <w:r w:rsidDel="00000000" w:rsidR="00000000" w:rsidRPr="00000000">
        <w:rPr>
          <w:rFonts w:ascii="Avenir" w:cs="Avenir" w:eastAsia="Avenir" w:hAnsi="Avenir"/>
          <w:b w:val="1"/>
          <w:bCs w:val="1"/>
          <w:color w:val="3c3f42"/>
          <w:sz w:val="14"/>
          <w:szCs w:val="14"/>
          <w:rtl w:val="0"/>
        </w:rPr>
        <w:t xml:space="preserve">References</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Siemens AG. Siemens introduces AI agents for industrial automation. Published May 2025. Accessed March 18, 2026. </w:t>
      </w:r>
      <w:hyperlink r:id="rId6">
        <w:r w:rsidDel="00000000" w:rsidR="00000000" w:rsidRPr="00000000">
          <w:rPr>
            <w:rFonts w:ascii="Avenir" w:cs="Avenir" w:eastAsia="Avenir" w:hAnsi="Avenir"/>
            <w:sz w:val="14"/>
            <w:szCs w:val="14"/>
            <w:rtl w:val="0"/>
          </w:rPr>
          <w:t xml:space="preserve">https://press.siemens.com/global/en/pressrelease/siemens-introduces-ai-agents-industrial-automation</w:t>
        </w:r>
      </w:hyperlink>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Stracke L, Burggräf P, Sauer CR, Schütz M, Kaiser J. From human to machine: high-impact tasks for AI in production management — an expert study to reshape decision-making. </w:t>
      </w:r>
      <w:r w:rsidDel="00000000" w:rsidR="00000000" w:rsidRPr="00000000">
        <w:rPr>
          <w:rFonts w:ascii="Avenir" w:cs="Avenir" w:eastAsia="Avenir" w:hAnsi="Avenir"/>
          <w:i w:val="1"/>
          <w:iCs w:val="1"/>
          <w:sz w:val="14"/>
          <w:szCs w:val="14"/>
          <w:rtl w:val="0"/>
        </w:rPr>
        <w:t xml:space="preserve">Production Engineering</w:t>
      </w:r>
      <w:r w:rsidDel="00000000" w:rsidR="00000000" w:rsidRPr="00000000">
        <w:rPr>
          <w:rFonts w:ascii="Avenir" w:cs="Avenir" w:eastAsia="Avenir" w:hAnsi="Avenir"/>
          <w:sz w:val="14"/>
          <w:szCs w:val="14"/>
          <w:rtl w:val="0"/>
        </w:rPr>
        <w:t xml:space="preserve">. 2026.</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Langer M, Baum K, Schlicker N. Effective human oversight of AI-based systems: a signal detection perspective on the detection of inaccurate and unfair outputs. </w:t>
      </w:r>
      <w:r w:rsidDel="00000000" w:rsidR="00000000" w:rsidRPr="00000000">
        <w:rPr>
          <w:rFonts w:ascii="Avenir" w:cs="Avenir" w:eastAsia="Avenir" w:hAnsi="Avenir"/>
          <w:i w:val="1"/>
          <w:iCs w:val="1"/>
          <w:sz w:val="14"/>
          <w:szCs w:val="14"/>
          <w:rtl w:val="0"/>
        </w:rPr>
        <w:t xml:space="preserve">Minds and Machines</w:t>
      </w:r>
      <w:r w:rsidDel="00000000" w:rsidR="00000000" w:rsidRPr="00000000">
        <w:rPr>
          <w:rFonts w:ascii="Avenir" w:cs="Avenir" w:eastAsia="Avenir" w:hAnsi="Avenir"/>
          <w:sz w:val="14"/>
          <w:szCs w:val="14"/>
          <w:rtl w:val="0"/>
        </w:rPr>
        <w:t xml:space="preserve">. 2025.</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Romeo G, Conti D. Exploring automation bias in human-AI collaboration: a review and implications for explainable AI. </w:t>
      </w:r>
      <w:r w:rsidDel="00000000" w:rsidR="00000000" w:rsidRPr="00000000">
        <w:rPr>
          <w:rFonts w:ascii="Avenir" w:cs="Avenir" w:eastAsia="Avenir" w:hAnsi="Avenir"/>
          <w:i w:val="1"/>
          <w:iCs w:val="1"/>
          <w:sz w:val="14"/>
          <w:szCs w:val="14"/>
          <w:rtl w:val="0"/>
        </w:rPr>
        <w:t xml:space="preserve">AI &amp; Society</w:t>
      </w:r>
      <w:r w:rsidDel="00000000" w:rsidR="00000000" w:rsidRPr="00000000">
        <w:rPr>
          <w:rFonts w:ascii="Avenir" w:cs="Avenir" w:eastAsia="Avenir" w:hAnsi="Avenir"/>
          <w:sz w:val="14"/>
          <w:szCs w:val="14"/>
          <w:rtl w:val="0"/>
        </w:rPr>
        <w:t xml:space="preserve">. 2026.</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Nie Q, Shen Y, Ma Y, et al. Probing augmented intelligent human-robot collaborative assembly methods toward Industry 5.0. </w:t>
      </w:r>
      <w:r w:rsidDel="00000000" w:rsidR="00000000" w:rsidRPr="00000000">
        <w:rPr>
          <w:rFonts w:ascii="Avenir" w:cs="Avenir" w:eastAsia="Avenir" w:hAnsi="Avenir"/>
          <w:i w:val="1"/>
          <w:iCs w:val="1"/>
          <w:sz w:val="14"/>
          <w:szCs w:val="14"/>
          <w:rtl w:val="0"/>
        </w:rPr>
        <w:t xml:space="preserve">Electronics</w:t>
      </w:r>
      <w:r w:rsidDel="00000000" w:rsidR="00000000" w:rsidRPr="00000000">
        <w:rPr>
          <w:rFonts w:ascii="Avenir" w:cs="Avenir" w:eastAsia="Avenir" w:hAnsi="Avenir"/>
          <w:sz w:val="14"/>
          <w:szCs w:val="14"/>
          <w:rtl w:val="0"/>
        </w:rPr>
        <w:t xml:space="preserve">. 2025;14(15):3125.</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Johnson M, Albizri A, Harfouche A, Fosso-Wamba S. Integrating human knowledge into artificial intelligence for complex and ill-structured problems: informed artificial intelligence. </w:t>
      </w:r>
      <w:r w:rsidDel="00000000" w:rsidR="00000000" w:rsidRPr="00000000">
        <w:rPr>
          <w:rFonts w:ascii="Avenir" w:cs="Avenir" w:eastAsia="Avenir" w:hAnsi="Avenir"/>
          <w:i w:val="1"/>
          <w:iCs w:val="1"/>
          <w:sz w:val="14"/>
          <w:szCs w:val="14"/>
          <w:rtl w:val="0"/>
        </w:rPr>
        <w:t xml:space="preserve">International Journal of Information Management</w:t>
      </w:r>
      <w:r w:rsidDel="00000000" w:rsidR="00000000" w:rsidRPr="00000000">
        <w:rPr>
          <w:rFonts w:ascii="Avenir" w:cs="Avenir" w:eastAsia="Avenir" w:hAnsi="Avenir"/>
          <w:sz w:val="14"/>
          <w:szCs w:val="14"/>
          <w:rtl w:val="0"/>
        </w:rPr>
        <w:t xml:space="preserve">. 2022;64:102479. doi:10.1016/j.ijinfomgt.2022.102479</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Deng C, Ji X, Rainey C, Zhang J, Lu W. Integrating machine learning with human knowledge. </w:t>
      </w:r>
      <w:r w:rsidDel="00000000" w:rsidR="00000000" w:rsidRPr="00000000">
        <w:rPr>
          <w:rFonts w:ascii="Avenir" w:cs="Avenir" w:eastAsia="Avenir" w:hAnsi="Avenir"/>
          <w:i w:val="1"/>
          <w:iCs w:val="1"/>
          <w:sz w:val="14"/>
          <w:szCs w:val="14"/>
          <w:rtl w:val="0"/>
        </w:rPr>
        <w:t xml:space="preserve">iScience</w:t>
      </w:r>
      <w:r w:rsidDel="00000000" w:rsidR="00000000" w:rsidRPr="00000000">
        <w:rPr>
          <w:rFonts w:ascii="Avenir" w:cs="Avenir" w:eastAsia="Avenir" w:hAnsi="Avenir"/>
          <w:sz w:val="14"/>
          <w:szCs w:val="14"/>
          <w:rtl w:val="0"/>
        </w:rPr>
        <w:t xml:space="preserve">. 2020;23:101656. doi:10.1016/j.isci.2020.101656</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Chen H, Li S, Fan J, et al. Human-in-the-loop robot learning for smart manufacturing: a human-centric perspective. </w:t>
      </w:r>
      <w:r w:rsidDel="00000000" w:rsidR="00000000" w:rsidRPr="00000000">
        <w:rPr>
          <w:rFonts w:ascii="Avenir" w:cs="Avenir" w:eastAsia="Avenir" w:hAnsi="Avenir"/>
          <w:i w:val="1"/>
          <w:iCs w:val="1"/>
          <w:sz w:val="14"/>
          <w:szCs w:val="14"/>
          <w:rtl w:val="0"/>
        </w:rPr>
        <w:t xml:space="preserve">IEEE Transactions on Automation Science and Engineering</w:t>
      </w:r>
      <w:r w:rsidDel="00000000" w:rsidR="00000000" w:rsidRPr="00000000">
        <w:rPr>
          <w:rFonts w:ascii="Avenir" w:cs="Avenir" w:eastAsia="Avenir" w:hAnsi="Avenir"/>
          <w:sz w:val="14"/>
          <w:szCs w:val="14"/>
          <w:rtl w:val="0"/>
        </w:rPr>
        <w:t xml:space="preserve">. 2025;22:1-1. doi:10.1109/TASE.2025.3528051</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Jarrahi MH, Askay D, Eshraghi A, Smith P. Artificial intelligence and knowledge management: a partnership between human and AI. </w:t>
      </w:r>
      <w:r w:rsidDel="00000000" w:rsidR="00000000" w:rsidRPr="00000000">
        <w:rPr>
          <w:rFonts w:ascii="Avenir" w:cs="Avenir" w:eastAsia="Avenir" w:hAnsi="Avenir"/>
          <w:i w:val="1"/>
          <w:iCs w:val="1"/>
          <w:sz w:val="14"/>
          <w:szCs w:val="14"/>
          <w:rtl w:val="0"/>
        </w:rPr>
        <w:t xml:space="preserve">Business Horizons</w:t>
      </w:r>
      <w:r w:rsidDel="00000000" w:rsidR="00000000" w:rsidRPr="00000000">
        <w:rPr>
          <w:rFonts w:ascii="Avenir" w:cs="Avenir" w:eastAsia="Avenir" w:hAnsi="Avenir"/>
          <w:sz w:val="14"/>
          <w:szCs w:val="14"/>
          <w:rtl w:val="0"/>
        </w:rPr>
        <w:t xml:space="preserve">. 2023;66(1):87-99. doi:10.1016/j.bushor.2022.03.002</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Contreras CA, Rastegarpanah A, Chiou M, Stolkin R. A mini-review on mobile manipulators with variable autonomy. </w:t>
      </w:r>
      <w:r w:rsidDel="00000000" w:rsidR="00000000" w:rsidRPr="00000000">
        <w:rPr>
          <w:rFonts w:ascii="Avenir" w:cs="Avenir" w:eastAsia="Avenir" w:hAnsi="Avenir"/>
          <w:i w:val="1"/>
          <w:iCs w:val="1"/>
          <w:sz w:val="14"/>
          <w:szCs w:val="14"/>
          <w:rtl w:val="0"/>
        </w:rPr>
        <w:t xml:space="preserve">Frontiers in Robotics and AI</w:t>
      </w:r>
      <w:r w:rsidDel="00000000" w:rsidR="00000000" w:rsidRPr="00000000">
        <w:rPr>
          <w:rFonts w:ascii="Avenir" w:cs="Avenir" w:eastAsia="Avenir" w:hAnsi="Avenir"/>
          <w:sz w:val="14"/>
          <w:szCs w:val="14"/>
          <w:rtl w:val="0"/>
        </w:rPr>
        <w:t xml:space="preserve">. 2025.</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Falcini F, Lami G, Costanza AM. Artificial intelligence for safety-critical systems in industrial and transportation domains: a survey. </w:t>
      </w:r>
      <w:r w:rsidDel="00000000" w:rsidR="00000000" w:rsidRPr="00000000">
        <w:rPr>
          <w:rFonts w:ascii="Avenir" w:cs="Avenir" w:eastAsia="Avenir" w:hAnsi="Avenir"/>
          <w:i w:val="1"/>
          <w:iCs w:val="1"/>
          <w:sz w:val="14"/>
          <w:szCs w:val="14"/>
          <w:rtl w:val="0"/>
        </w:rPr>
        <w:t xml:space="preserve">ACM Computing Surveys</w:t>
      </w:r>
      <w:r w:rsidDel="00000000" w:rsidR="00000000" w:rsidRPr="00000000">
        <w:rPr>
          <w:rFonts w:ascii="Avenir" w:cs="Avenir" w:eastAsia="Avenir" w:hAnsi="Avenir"/>
          <w:sz w:val="14"/>
          <w:szCs w:val="14"/>
          <w:rtl w:val="0"/>
        </w:rPr>
        <w:t xml:space="preserve">. 2024;56(7):164. doi:10.1145/3626314</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Hinder F, Vaquet V, Hammer B. One or two things we know about concept drift — a survey on monitoring in evolving environments. Part A: detecting concept drift. </w:t>
      </w:r>
      <w:r w:rsidDel="00000000" w:rsidR="00000000" w:rsidRPr="00000000">
        <w:rPr>
          <w:rFonts w:ascii="Avenir" w:cs="Avenir" w:eastAsia="Avenir" w:hAnsi="Avenir"/>
          <w:i w:val="1"/>
          <w:iCs w:val="1"/>
          <w:sz w:val="14"/>
          <w:szCs w:val="14"/>
          <w:rtl w:val="0"/>
        </w:rPr>
        <w:t xml:space="preserve">Frontiers in Artificial Intelligence</w:t>
      </w:r>
      <w:r w:rsidDel="00000000" w:rsidR="00000000" w:rsidRPr="00000000">
        <w:rPr>
          <w:rFonts w:ascii="Avenir" w:cs="Avenir" w:eastAsia="Avenir" w:hAnsi="Avenir"/>
          <w:sz w:val="14"/>
          <w:szCs w:val="14"/>
          <w:rtl w:val="0"/>
        </w:rPr>
        <w:t xml:space="preserve">. 2024;7:1330257. doi:10.3389/frai.2024.1330257</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ress.siemens.com/global/en/pressrelease/siemens-introduces-ai-agents-industrial-automation"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